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B2" w:rsidRDefault="00AC7DE8" w:rsidP="00D33638">
      <w:pPr>
        <w:spacing w:line="360" w:lineRule="auto"/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6F49485A" wp14:editId="696987E6">
            <wp:simplePos x="0" y="0"/>
            <wp:positionH relativeFrom="column">
              <wp:posOffset>-285750</wp:posOffset>
            </wp:positionH>
            <wp:positionV relativeFrom="paragraph">
              <wp:posOffset>-390525</wp:posOffset>
            </wp:positionV>
            <wp:extent cx="6355344" cy="883227"/>
            <wp:effectExtent l="0" t="0" r="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tacionário 1b STP 19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344" cy="88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BB2" w:rsidRDefault="00702BB2" w:rsidP="00D33638">
      <w:pPr>
        <w:spacing w:line="360" w:lineRule="auto"/>
      </w:pPr>
    </w:p>
    <w:p w:rsidR="00702BB2" w:rsidRDefault="00702BB2" w:rsidP="00D33638">
      <w:pPr>
        <w:spacing w:line="360" w:lineRule="auto"/>
        <w:rPr>
          <w:sz w:val="24"/>
        </w:rPr>
      </w:pPr>
      <w:r w:rsidRPr="00702BB2">
        <w:rPr>
          <w:sz w:val="24"/>
        </w:rPr>
        <w:t xml:space="preserve">INFORMAÇÃO </w:t>
      </w:r>
      <w:r>
        <w:rPr>
          <w:sz w:val="24"/>
        </w:rPr>
        <w:t>–</w:t>
      </w:r>
      <w:r w:rsidRPr="00702BB2">
        <w:rPr>
          <w:sz w:val="24"/>
        </w:rPr>
        <w:t xml:space="preserve"> PROVA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411"/>
      </w:tblGrid>
      <w:tr w:rsidR="00702BB2" w:rsidTr="00566AE7">
        <w:tc>
          <w:tcPr>
            <w:tcW w:w="7083" w:type="dxa"/>
            <w:vAlign w:val="bottom"/>
          </w:tcPr>
          <w:p w:rsidR="00702BB2" w:rsidRDefault="003337E8" w:rsidP="00566AE7">
            <w:pPr>
              <w:spacing w:line="360" w:lineRule="auto"/>
              <w:rPr>
                <w:sz w:val="24"/>
              </w:rPr>
            </w:pPr>
            <w:r w:rsidRPr="00D952F1">
              <w:rPr>
                <w:b/>
                <w:sz w:val="28"/>
              </w:rPr>
              <w:t>BIOLOGIA</w:t>
            </w:r>
            <w:r w:rsidR="00702BB2">
              <w:rPr>
                <w:b/>
                <w:sz w:val="28"/>
              </w:rPr>
              <w:t xml:space="preserve"> – </w:t>
            </w:r>
            <w:r w:rsidR="00453B3D">
              <w:rPr>
                <w:b/>
                <w:sz w:val="28"/>
              </w:rPr>
              <w:t>PROVA</w:t>
            </w:r>
            <w:r w:rsidR="00702BB2">
              <w:rPr>
                <w:b/>
                <w:sz w:val="28"/>
              </w:rPr>
              <w:t xml:space="preserve"> DE EQUIVALÊNCIA À FREQUÊNCIA</w:t>
            </w:r>
          </w:p>
        </w:tc>
        <w:tc>
          <w:tcPr>
            <w:tcW w:w="1411" w:type="dxa"/>
            <w:vAlign w:val="center"/>
          </w:tcPr>
          <w:p w:rsidR="00702BB2" w:rsidRPr="00702BB2" w:rsidRDefault="00AC7DE8" w:rsidP="00566AE7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702BB2" w:rsidTr="00566AE7">
        <w:tc>
          <w:tcPr>
            <w:tcW w:w="8494" w:type="dxa"/>
            <w:gridSpan w:val="2"/>
            <w:tcBorders>
              <w:bottom w:val="single" w:sz="4" w:space="0" w:color="auto"/>
            </w:tcBorders>
            <w:vAlign w:val="bottom"/>
          </w:tcPr>
          <w:p w:rsidR="00702BB2" w:rsidRPr="00702BB2" w:rsidRDefault="00D33638" w:rsidP="00566A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PROVA </w:t>
            </w:r>
            <w:r w:rsidR="003337E8" w:rsidRPr="00D952F1">
              <w:rPr>
                <w:sz w:val="24"/>
              </w:rPr>
              <w:t>302</w:t>
            </w:r>
          </w:p>
        </w:tc>
      </w:tr>
      <w:tr w:rsidR="00D33638" w:rsidTr="00566AE7">
        <w:tc>
          <w:tcPr>
            <w:tcW w:w="849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DF1B83" w:rsidRDefault="00D33638" w:rsidP="00566AE7">
            <w:pPr>
              <w:spacing w:line="360" w:lineRule="auto"/>
              <w:rPr>
                <w:sz w:val="24"/>
              </w:rPr>
            </w:pPr>
            <w:r w:rsidRPr="00D952F1">
              <w:rPr>
                <w:sz w:val="24"/>
              </w:rPr>
              <w:t>12</w:t>
            </w:r>
            <w:r w:rsidRPr="00D33638">
              <w:rPr>
                <w:sz w:val="24"/>
              </w:rPr>
              <w:t>.º Ano de Escolaridade</w:t>
            </w:r>
          </w:p>
          <w:p w:rsidR="00D33638" w:rsidRDefault="00D33638" w:rsidP="00566AE7">
            <w:pPr>
              <w:spacing w:line="360" w:lineRule="auto"/>
              <w:rPr>
                <w:sz w:val="24"/>
              </w:rPr>
            </w:pPr>
            <w:r w:rsidRPr="00D33638">
              <w:rPr>
                <w:sz w:val="24"/>
              </w:rPr>
              <w:t xml:space="preserve"> </w:t>
            </w:r>
            <w:r w:rsidR="00DF1B83" w:rsidRPr="00DF1B83">
              <w:rPr>
                <w:bCs/>
                <w:sz w:val="24"/>
                <w:szCs w:val="24"/>
              </w:rPr>
              <w:t>(Decreto-Lei nº 55/2018, de 6 de julho conjugado com o Decreto-Lei n.º 139/2012, de 5 de julho)</w:t>
            </w:r>
          </w:p>
        </w:tc>
      </w:tr>
    </w:tbl>
    <w:p w:rsidR="004007D3" w:rsidRDefault="004007D3" w:rsidP="00D33638">
      <w:pPr>
        <w:spacing w:line="360" w:lineRule="auto"/>
      </w:pPr>
    </w:p>
    <w:p w:rsidR="005054E9" w:rsidRPr="00C22A1A" w:rsidRDefault="005054E9" w:rsidP="005054E9">
      <w:pPr>
        <w:pStyle w:val="PargrafodaLista"/>
        <w:autoSpaceDE w:val="0"/>
        <w:autoSpaceDN w:val="0"/>
        <w:adjustRightInd w:val="0"/>
        <w:spacing w:line="360" w:lineRule="auto"/>
        <w:ind w:left="644" w:hanging="360"/>
        <w:jc w:val="both"/>
        <w:rPr>
          <w:rFonts w:cs="TrebuchetMS-Bold"/>
          <w:b/>
          <w:bCs/>
          <w:color w:val="000000"/>
        </w:rPr>
      </w:pPr>
      <w:r w:rsidRPr="00C22A1A">
        <w:rPr>
          <w:rFonts w:cs="TrebuchetMS-Bold"/>
          <w:b/>
          <w:bCs/>
          <w:color w:val="000000"/>
        </w:rPr>
        <w:t>Introdução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>O presente documento visa divulgar as características da prova de equivalência à frequência da disciplina</w:t>
      </w:r>
      <w:r w:rsidR="00112DE0">
        <w:rPr>
          <w:rFonts w:cs="TrebuchetMS"/>
          <w:color w:val="000000"/>
        </w:rPr>
        <w:t xml:space="preserve"> de Biologia, a realizar em 20</w:t>
      </w:r>
      <w:r w:rsidR="00533A86">
        <w:rPr>
          <w:rFonts w:cs="TrebuchetMS"/>
          <w:color w:val="000000"/>
        </w:rPr>
        <w:t>20</w:t>
      </w:r>
      <w:bookmarkStart w:id="0" w:name="_GoBack"/>
      <w:bookmarkEnd w:id="0"/>
      <w:r w:rsidRPr="00C22A1A">
        <w:rPr>
          <w:rFonts w:cs="TrebuchetMS"/>
          <w:color w:val="000000"/>
        </w:rPr>
        <w:t>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>O presente documento dá a conhecer os seguintes aspetos relativos à prova:</w:t>
      </w:r>
    </w:p>
    <w:p w:rsidR="005054E9" w:rsidRPr="00C22A1A" w:rsidRDefault="005054E9" w:rsidP="005054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>Objeto de avaliação;</w:t>
      </w:r>
    </w:p>
    <w:p w:rsidR="005054E9" w:rsidRPr="00C22A1A" w:rsidRDefault="005054E9" w:rsidP="005054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>Características e estrutura da prova;</w:t>
      </w:r>
    </w:p>
    <w:p w:rsidR="005054E9" w:rsidRPr="00C22A1A" w:rsidRDefault="005054E9" w:rsidP="005054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>Critérios gerais de classificação;</w:t>
      </w:r>
    </w:p>
    <w:p w:rsidR="005054E9" w:rsidRPr="00C22A1A" w:rsidRDefault="005054E9" w:rsidP="005054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>Material;</w:t>
      </w:r>
    </w:p>
    <w:p w:rsidR="005054E9" w:rsidRPr="00C22A1A" w:rsidRDefault="005054E9" w:rsidP="005054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rebuchetMS"/>
          <w:color w:val="000000"/>
        </w:rPr>
      </w:pPr>
      <w:r>
        <w:rPr>
          <w:rFonts w:cs="TrebuchetMS"/>
          <w:color w:val="000000"/>
        </w:rPr>
        <w:t>Duração da prova.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>Importa ainda referir que, nas provas desta disciplina, o grau de exigência decorrente do enunciado dos itens e o grau de aprofundamento evidenciado nos critérios de classificação estão balizados pelo Programa, em adequação ao nível de ensino a que o exame diz respeito.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-Bold"/>
          <w:b/>
          <w:bCs/>
          <w:color w:val="000000"/>
        </w:rPr>
      </w:pPr>
      <w:r>
        <w:rPr>
          <w:rFonts w:cs="TrebuchetMS-Bold"/>
          <w:b/>
          <w:bCs/>
          <w:color w:val="000000"/>
        </w:rPr>
        <w:t>1</w:t>
      </w:r>
      <w:r w:rsidRPr="00C22A1A">
        <w:rPr>
          <w:rFonts w:cs="TrebuchetMS-Bold"/>
          <w:b/>
          <w:bCs/>
          <w:color w:val="000000"/>
        </w:rPr>
        <w:t>. Objeto de avaliação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>A prova a que esta informação se refere incide nos conhecimentos e nas competências enunciados no Programa de Biologia em vigor (homologado em 21/10/2004).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  <w:r w:rsidRPr="00C22A1A">
        <w:rPr>
          <w:rFonts w:cs="TrebuchetMS"/>
          <w:color w:val="000000"/>
        </w:rPr>
        <w:t xml:space="preserve">As competências a avaliar </w:t>
      </w:r>
      <w:r w:rsidRPr="00C22A1A">
        <w:rPr>
          <w:rFonts w:cs="TrebuchetMS"/>
          <w:color w:val="231F20"/>
        </w:rPr>
        <w:t>estão relacionadas com o conhecimento científico e, tal como o Programa refere, exigem um desenvolvimento paralelo de competências transversais.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  <w:r w:rsidRPr="00C22A1A">
        <w:rPr>
          <w:rFonts w:cs="TrebuchetMS"/>
          <w:color w:val="231F20"/>
        </w:rPr>
        <w:lastRenderedPageBreak/>
        <w:t>As competências científicas e as competências transversais estão operacionalizadas no Programa no ponto: «Competências a desenvolver». Tais competências desenvolvem-se nas Cinco Unidades Temáticas que configuram o programa: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  <w:r w:rsidRPr="00C22A1A">
        <w:rPr>
          <w:rFonts w:cs="TrebuchetMS-Bold"/>
          <w:b/>
          <w:bCs/>
          <w:color w:val="000000"/>
        </w:rPr>
        <w:t>Unidade 1 – Reprodução e manipulação da fertilidade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  <w:r w:rsidRPr="00C22A1A">
        <w:rPr>
          <w:rFonts w:cs="TrebuchetMS"/>
          <w:color w:val="000000"/>
        </w:rPr>
        <w:t>1. Reprodução humana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>2. Manipulação da fertilidade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  <w:r w:rsidRPr="00C22A1A">
        <w:rPr>
          <w:rFonts w:cs="TrebuchetMS-Bold"/>
          <w:b/>
          <w:bCs/>
          <w:color w:val="000000"/>
        </w:rPr>
        <w:t xml:space="preserve">Unidade 2 </w:t>
      </w:r>
      <w:r w:rsidRPr="00C22A1A">
        <w:rPr>
          <w:rFonts w:cs="TrebuchetMS"/>
          <w:color w:val="000000"/>
        </w:rPr>
        <w:t xml:space="preserve">– </w:t>
      </w:r>
      <w:r w:rsidRPr="00C22A1A">
        <w:rPr>
          <w:rFonts w:cs="TrebuchetMS-Bold"/>
          <w:b/>
          <w:bCs/>
          <w:color w:val="000000"/>
        </w:rPr>
        <w:t>Património Genético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  <w:r w:rsidRPr="00C22A1A">
        <w:rPr>
          <w:rFonts w:cs="TrebuchetMS"/>
          <w:color w:val="000000"/>
        </w:rPr>
        <w:t>1. Património Genético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  <w:r w:rsidRPr="00C22A1A">
        <w:rPr>
          <w:rFonts w:cs="TrebuchetMS"/>
          <w:color w:val="000000"/>
        </w:rPr>
        <w:t>2. Alterações do material genético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  <w:r w:rsidRPr="00C22A1A">
        <w:rPr>
          <w:rFonts w:cs="TrebuchetMS-Bold"/>
          <w:b/>
          <w:bCs/>
          <w:color w:val="000000"/>
        </w:rPr>
        <w:t>Unidade 3 – Imunidade e controlo de doenças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  <w:r w:rsidRPr="00C22A1A">
        <w:rPr>
          <w:rFonts w:cs="TrebuchetMS"/>
          <w:color w:val="000000"/>
        </w:rPr>
        <w:t>1. Sistema imunitário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  <w:r w:rsidRPr="00C22A1A">
        <w:rPr>
          <w:rFonts w:cs="TrebuchetMS"/>
          <w:color w:val="000000"/>
        </w:rPr>
        <w:t>2. Biotecnologia no diagnóstico e terapêutica de doenças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  <w:r w:rsidRPr="00C22A1A">
        <w:rPr>
          <w:rFonts w:cs="TrebuchetMS-Bold"/>
          <w:b/>
          <w:bCs/>
          <w:color w:val="000000"/>
        </w:rPr>
        <w:t>Unidade 4 – Produção de alimentos e sustentabilidade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  <w:r w:rsidRPr="00C22A1A">
        <w:rPr>
          <w:rFonts w:cs="TrebuchetMS"/>
          <w:color w:val="000000"/>
        </w:rPr>
        <w:t>1.</w:t>
      </w:r>
      <w:r>
        <w:rPr>
          <w:rFonts w:cs="TrebuchetMS"/>
          <w:color w:val="000000"/>
        </w:rPr>
        <w:t xml:space="preserve"> </w:t>
      </w:r>
      <w:r w:rsidRPr="00C22A1A">
        <w:rPr>
          <w:rFonts w:cs="TrebuchetMS"/>
          <w:color w:val="000000"/>
        </w:rPr>
        <w:t>Microrganismos e indústria alimentar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  <w:r w:rsidRPr="00C22A1A">
        <w:rPr>
          <w:rFonts w:cs="TrebuchetMS"/>
          <w:color w:val="000000"/>
        </w:rPr>
        <w:t>2. Exploração de potencialidades da Biosfera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  <w:r w:rsidRPr="00C22A1A">
        <w:rPr>
          <w:rFonts w:cs="TrebuchetMS-Bold"/>
          <w:b/>
          <w:bCs/>
          <w:color w:val="000000"/>
        </w:rPr>
        <w:t>Unidade 5 – Preservar e recuperar o meio ambiente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  <w:r w:rsidRPr="00C22A1A">
        <w:rPr>
          <w:rFonts w:cs="TrebuchetMS"/>
          <w:color w:val="000000"/>
        </w:rPr>
        <w:t>1.</w:t>
      </w:r>
      <w:r>
        <w:rPr>
          <w:rFonts w:cs="TrebuchetMS"/>
          <w:color w:val="000000"/>
        </w:rPr>
        <w:t xml:space="preserve"> </w:t>
      </w:r>
      <w:r w:rsidRPr="00C22A1A">
        <w:rPr>
          <w:rFonts w:cs="TrebuchetMS"/>
          <w:color w:val="000000"/>
        </w:rPr>
        <w:t>Poluição e degradação de recursos</w:t>
      </w:r>
    </w:p>
    <w:p w:rsidR="005054E9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>2.</w:t>
      </w:r>
      <w:r>
        <w:rPr>
          <w:rFonts w:cs="TrebuchetMS"/>
          <w:color w:val="000000"/>
        </w:rPr>
        <w:t xml:space="preserve"> </w:t>
      </w:r>
      <w:r w:rsidRPr="00C22A1A">
        <w:rPr>
          <w:rFonts w:cs="TrebuchetMS"/>
          <w:color w:val="000000"/>
        </w:rPr>
        <w:t>Crescimento da população humana e sustentabilidade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</w:p>
    <w:p w:rsidR="005054E9" w:rsidRPr="00A26DE7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 MS"/>
        </w:rPr>
      </w:pPr>
      <w:r w:rsidRPr="00A26DE7">
        <w:rPr>
          <w:rFonts w:cs="Trebuchet MS"/>
        </w:rPr>
        <w:t>Assim, a prova permite avaliar as seguintes competências:</w:t>
      </w:r>
    </w:p>
    <w:p w:rsidR="005054E9" w:rsidRPr="00A26DE7" w:rsidRDefault="005054E9" w:rsidP="005054E9">
      <w:pPr>
        <w:tabs>
          <w:tab w:val="left" w:pos="3705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cs="Trebuchet MS,Bold"/>
          <w:b/>
          <w:bCs/>
        </w:rPr>
      </w:pPr>
      <w:r w:rsidRPr="00A26DE7">
        <w:rPr>
          <w:rFonts w:cs="Trebuchet MS,Bold"/>
          <w:b/>
          <w:bCs/>
        </w:rPr>
        <w:t>DOMÍNIO CONCEPTUAL</w:t>
      </w:r>
      <w:r>
        <w:rPr>
          <w:rFonts w:cs="Trebuchet MS,Bold"/>
          <w:b/>
          <w:bCs/>
        </w:rPr>
        <w:tab/>
      </w:r>
    </w:p>
    <w:p w:rsidR="005054E9" w:rsidRPr="00A26DE7" w:rsidRDefault="005054E9" w:rsidP="005054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rebuchet MS"/>
        </w:rPr>
      </w:pPr>
      <w:r w:rsidRPr="00A26DE7">
        <w:rPr>
          <w:rFonts w:cs="Trebuchet MS"/>
        </w:rPr>
        <w:t>Conhecimento e compreensão de dados, de conceitos, de modelos e de teorias;</w:t>
      </w:r>
    </w:p>
    <w:p w:rsidR="005054E9" w:rsidRPr="00A26DE7" w:rsidRDefault="005054E9" w:rsidP="005054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rebuchet MS"/>
        </w:rPr>
      </w:pPr>
      <w:r w:rsidRPr="00A26DE7">
        <w:rPr>
          <w:rFonts w:cs="Trebuchet MS"/>
        </w:rPr>
        <w:t>Interpretação de dados fornecidos em diversos suportes;</w:t>
      </w:r>
    </w:p>
    <w:p w:rsidR="005054E9" w:rsidRPr="00A26DE7" w:rsidRDefault="005054E9" w:rsidP="005054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rebuchet MS"/>
        </w:rPr>
      </w:pPr>
      <w:r w:rsidRPr="00A26DE7">
        <w:rPr>
          <w:rFonts w:cs="Trebuchet MS"/>
        </w:rPr>
        <w:t>Mobilização e utilização de dados, de conceitos, de modelos e de teorias;</w:t>
      </w:r>
    </w:p>
    <w:p w:rsidR="005054E9" w:rsidRPr="00A26DE7" w:rsidRDefault="005054E9" w:rsidP="005054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rebuchet MS"/>
        </w:rPr>
      </w:pPr>
      <w:r w:rsidRPr="00A26DE7">
        <w:rPr>
          <w:rFonts w:cs="Trebuchet MS"/>
        </w:rPr>
        <w:t>Explicação de contextos em análise, com base em critérios fornecidos;</w:t>
      </w:r>
    </w:p>
    <w:p w:rsidR="005054E9" w:rsidRPr="00A26DE7" w:rsidRDefault="005054E9" w:rsidP="005054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rebuchet MS"/>
        </w:rPr>
      </w:pPr>
      <w:r w:rsidRPr="00A26DE7">
        <w:rPr>
          <w:rFonts w:cs="Trebuchet MS"/>
        </w:rPr>
        <w:t>Estabelecimento de relações entre conceitos.</w:t>
      </w:r>
    </w:p>
    <w:p w:rsidR="005054E9" w:rsidRPr="00A26DE7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 MS,Bold"/>
          <w:b/>
          <w:bCs/>
        </w:rPr>
      </w:pPr>
      <w:r w:rsidRPr="00A26DE7">
        <w:rPr>
          <w:rFonts w:cs="Trebuchet MS,Bold"/>
          <w:b/>
          <w:bCs/>
        </w:rPr>
        <w:lastRenderedPageBreak/>
        <w:t>DOMÍNIO PROCEDIMENTAL</w:t>
      </w:r>
    </w:p>
    <w:p w:rsidR="005054E9" w:rsidRPr="00A26DE7" w:rsidRDefault="005054E9" w:rsidP="005054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rebuchet MS"/>
        </w:rPr>
      </w:pPr>
      <w:r w:rsidRPr="00A26DE7">
        <w:rPr>
          <w:rFonts w:cs="Trebuchet MS"/>
        </w:rPr>
        <w:t>Reconhecimento da função da observação na investigação científica;</w:t>
      </w:r>
    </w:p>
    <w:p w:rsidR="005054E9" w:rsidRPr="00A26DE7" w:rsidRDefault="005054E9" w:rsidP="005054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rebuchet MS"/>
        </w:rPr>
      </w:pPr>
      <w:r w:rsidRPr="00A26DE7">
        <w:rPr>
          <w:rFonts w:cs="Trebuchet MS"/>
        </w:rPr>
        <w:t>Identificação/formulação de problemas/hipó</w:t>
      </w:r>
      <w:r>
        <w:rPr>
          <w:rFonts w:cs="Trebuchet MS"/>
        </w:rPr>
        <w:t xml:space="preserve">teses explicativas de processos </w:t>
      </w:r>
      <w:r w:rsidRPr="00A26DE7">
        <w:rPr>
          <w:rFonts w:cs="Trebuchet MS"/>
        </w:rPr>
        <w:t>naturais;</w:t>
      </w:r>
    </w:p>
    <w:p w:rsidR="005054E9" w:rsidRPr="00A26DE7" w:rsidRDefault="005054E9" w:rsidP="005054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rebuchet MS"/>
        </w:rPr>
      </w:pPr>
      <w:r w:rsidRPr="00A26DE7">
        <w:rPr>
          <w:rFonts w:cs="Trebuchet MS"/>
        </w:rPr>
        <w:t>Identificação de argumentos a favor ou contra determinadas hipóteses/conclusões;</w:t>
      </w:r>
    </w:p>
    <w:p w:rsidR="005054E9" w:rsidRPr="00A26DE7" w:rsidRDefault="005054E9" w:rsidP="005054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rebuchet MS"/>
        </w:rPr>
      </w:pPr>
      <w:r w:rsidRPr="00A26DE7">
        <w:rPr>
          <w:rFonts w:cs="Trebuchet MS"/>
        </w:rPr>
        <w:t>Interpretação/alteração de procedimentos experimentais fornecidos;</w:t>
      </w:r>
    </w:p>
    <w:p w:rsidR="005054E9" w:rsidRPr="00A26DE7" w:rsidRDefault="005054E9" w:rsidP="005054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rebuchet MS"/>
        </w:rPr>
      </w:pPr>
      <w:r w:rsidRPr="00A26DE7">
        <w:rPr>
          <w:rFonts w:cs="Trebuchet MS"/>
        </w:rPr>
        <w:t>Interpretação dos resultados de uma investigação científica;</w:t>
      </w:r>
    </w:p>
    <w:p w:rsidR="005054E9" w:rsidRPr="00A26DE7" w:rsidRDefault="005054E9" w:rsidP="005054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rebuchet MS"/>
        </w:rPr>
      </w:pPr>
      <w:r w:rsidRPr="00A26DE7">
        <w:rPr>
          <w:rFonts w:cs="Trebuchet MS"/>
        </w:rPr>
        <w:t>Previsão de resultados/estabelecimento de conclusões.</w:t>
      </w:r>
    </w:p>
    <w:p w:rsidR="00D33638" w:rsidRDefault="00D33638" w:rsidP="00D33638">
      <w:pPr>
        <w:spacing w:line="360" w:lineRule="auto"/>
      </w:pPr>
    </w:p>
    <w:p w:rsidR="005054E9" w:rsidRDefault="005054E9" w:rsidP="00D33638">
      <w:pPr>
        <w:spacing w:line="360" w:lineRule="auto"/>
      </w:pP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  <w:r>
        <w:rPr>
          <w:rFonts w:cs="TrebuchetMS-Bold"/>
          <w:b/>
          <w:bCs/>
          <w:color w:val="000000"/>
        </w:rPr>
        <w:t>2</w:t>
      </w:r>
      <w:r w:rsidRPr="00C22A1A">
        <w:rPr>
          <w:rFonts w:cs="TrebuchetMS-Bold"/>
          <w:b/>
          <w:bCs/>
          <w:color w:val="000000"/>
        </w:rPr>
        <w:t>. Características e estrutura da prova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>A prova de equivalência à frequência da disciplina de Biologia é uma prova escrita com</w:t>
      </w:r>
      <w:r>
        <w:rPr>
          <w:rFonts w:cs="TrebuchetMS"/>
          <w:color w:val="000000"/>
        </w:rPr>
        <w:t xml:space="preserve"> </w:t>
      </w:r>
      <w:r w:rsidRPr="00C22A1A">
        <w:rPr>
          <w:rFonts w:cs="TrebuchetMS"/>
          <w:color w:val="000000"/>
        </w:rPr>
        <w:t>componente prática.</w:t>
      </w:r>
    </w:p>
    <w:p w:rsidR="005054E9" w:rsidRPr="00C22A1A" w:rsidRDefault="005054E9" w:rsidP="005054E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rebuchetMS"/>
          <w:color w:val="000000"/>
          <w:u w:val="single"/>
        </w:rPr>
      </w:pPr>
      <w:r w:rsidRPr="00C22A1A">
        <w:rPr>
          <w:rFonts w:cs="TrebuchetMS"/>
          <w:color w:val="000000"/>
          <w:u w:val="single"/>
        </w:rPr>
        <w:t>Prova escrita</w:t>
      </w:r>
    </w:p>
    <w:p w:rsidR="005054E9" w:rsidRPr="006B6A4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 MS"/>
        </w:rPr>
      </w:pPr>
      <w:r w:rsidRPr="006B6A4A">
        <w:rPr>
          <w:rFonts w:cs="TrebuchetMS"/>
          <w:color w:val="000000"/>
        </w:rPr>
        <w:t xml:space="preserve">A prova escrita está organizada por grupos de itens, todos de resposta obrigatória, de tipologia diversificada (itens de seleção e de construção). </w:t>
      </w:r>
      <w:r w:rsidRPr="006B6A4A">
        <w:rPr>
          <w:rFonts w:cs="Trebuchet MS"/>
        </w:rPr>
        <w:t>A prova reflete uma visão integradora e articulada dos diferentes conteúdos programáticos da</w:t>
      </w:r>
      <w:r>
        <w:rPr>
          <w:rFonts w:cs="Trebuchet MS"/>
        </w:rPr>
        <w:t xml:space="preserve"> </w:t>
      </w:r>
      <w:r w:rsidRPr="006B6A4A">
        <w:rPr>
          <w:rFonts w:cs="Trebuchet MS"/>
        </w:rPr>
        <w:t>disciplina.</w:t>
      </w:r>
    </w:p>
    <w:p w:rsidR="005054E9" w:rsidRPr="00DE0CF8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 MS"/>
        </w:rPr>
      </w:pPr>
      <w:r w:rsidRPr="00DE0CF8">
        <w:rPr>
          <w:rFonts w:cs="Trebuchet MS"/>
        </w:rPr>
        <w:t>Os itens podem ter como suporte um ou mais documentos, como, por exemplo, textos, tabelas, gráficos, mapas, fotografias e esquemas. A prova inclui itens de seleção (predominantemente de escolha múltipla) e itens de construção.</w:t>
      </w:r>
    </w:p>
    <w:p w:rsidR="005054E9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 MS"/>
        </w:rPr>
      </w:pPr>
      <w:r w:rsidRPr="00DE0CF8">
        <w:rPr>
          <w:rFonts w:cs="Trebuchet MS"/>
        </w:rPr>
        <w:t>Alguns dos itens/grupos de itens podem envolver a mobilização de aprendizagens relativas a mais</w:t>
      </w:r>
      <w:r>
        <w:rPr>
          <w:rFonts w:cs="Trebuchet MS"/>
        </w:rPr>
        <w:t xml:space="preserve"> </w:t>
      </w:r>
      <w:r w:rsidRPr="00DE0CF8">
        <w:rPr>
          <w:rFonts w:cs="Trebuchet MS"/>
        </w:rPr>
        <w:t>do que um dos temas/unidades do Programa.</w:t>
      </w:r>
    </w:p>
    <w:p w:rsidR="005054E9" w:rsidRPr="00DE0CF8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00"/>
        </w:rPr>
      </w:pPr>
    </w:p>
    <w:p w:rsidR="005054E9" w:rsidRPr="00C22A1A" w:rsidRDefault="005054E9" w:rsidP="005054E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rebuchetMS"/>
          <w:color w:val="000000"/>
          <w:u w:val="single"/>
        </w:rPr>
      </w:pPr>
      <w:r w:rsidRPr="00C22A1A">
        <w:rPr>
          <w:rFonts w:cs="TrebuchetMS"/>
          <w:color w:val="000000"/>
          <w:u w:val="single"/>
        </w:rPr>
        <w:t>Componente prática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>A componente prática integra: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>- A realização de uma atividade experimental, respeitante a qualquer um dos trabalhos laboratoriais propostos no programa da disciplina</w:t>
      </w:r>
      <w:r>
        <w:rPr>
          <w:rFonts w:cs="TrebuchetMS"/>
          <w:color w:val="000000"/>
        </w:rPr>
        <w:t xml:space="preserve"> e inclui a elaboração de um registo escrito (relatório científico)</w:t>
      </w:r>
      <w:r w:rsidRPr="00C22A1A">
        <w:rPr>
          <w:rFonts w:cs="TrebuchetMS"/>
          <w:color w:val="000000"/>
        </w:rPr>
        <w:t>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00"/>
        </w:rPr>
      </w:pPr>
      <w:r w:rsidRPr="00C22A1A">
        <w:rPr>
          <w:rFonts w:cs="Tahoma"/>
          <w:color w:val="000000"/>
        </w:rPr>
        <w:t xml:space="preserve">É </w:t>
      </w:r>
      <w:r w:rsidRPr="00C22A1A">
        <w:rPr>
          <w:rFonts w:cs="TrebuchetMS"/>
          <w:color w:val="000000"/>
        </w:rPr>
        <w:t>obrigatória a realização das duas componentes da prova, escrita e prática.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00"/>
          <w:u w:val="single"/>
        </w:rPr>
      </w:pPr>
      <w:r w:rsidRPr="00C22A1A">
        <w:rPr>
          <w:rFonts w:cs="TrebuchetMS"/>
          <w:color w:val="000000"/>
          <w:u w:val="single"/>
        </w:rPr>
        <w:lastRenderedPageBreak/>
        <w:t>Valorização das unidades programáticas na prova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06"/>
        <w:gridCol w:w="4163"/>
        <w:gridCol w:w="2125"/>
      </w:tblGrid>
      <w:tr w:rsidR="005054E9" w:rsidRPr="00C22A1A" w:rsidTr="0083261F">
        <w:tc>
          <w:tcPr>
            <w:tcW w:w="2235" w:type="dxa"/>
          </w:tcPr>
          <w:p w:rsidR="005054E9" w:rsidRPr="00C22A1A" w:rsidRDefault="005054E9" w:rsidP="0083261F">
            <w:pPr>
              <w:jc w:val="both"/>
            </w:pPr>
          </w:p>
        </w:tc>
        <w:tc>
          <w:tcPr>
            <w:tcW w:w="4252" w:type="dxa"/>
          </w:tcPr>
          <w:p w:rsidR="005054E9" w:rsidRPr="00C22A1A" w:rsidRDefault="005054E9" w:rsidP="0083261F">
            <w:pPr>
              <w:jc w:val="both"/>
            </w:pPr>
            <w:r w:rsidRPr="00C22A1A">
              <w:t>Conteúdos</w:t>
            </w:r>
          </w:p>
        </w:tc>
        <w:tc>
          <w:tcPr>
            <w:tcW w:w="2157" w:type="dxa"/>
          </w:tcPr>
          <w:p w:rsidR="005054E9" w:rsidRPr="00C22A1A" w:rsidRDefault="005054E9" w:rsidP="0083261F">
            <w:pPr>
              <w:jc w:val="both"/>
            </w:pPr>
            <w:r w:rsidRPr="00C22A1A">
              <w:t>Valorização</w:t>
            </w:r>
          </w:p>
        </w:tc>
      </w:tr>
      <w:tr w:rsidR="005054E9" w:rsidRPr="00C22A1A" w:rsidTr="0083261F">
        <w:tc>
          <w:tcPr>
            <w:tcW w:w="2235" w:type="dxa"/>
            <w:vMerge w:val="restart"/>
            <w:vAlign w:val="center"/>
          </w:tcPr>
          <w:p w:rsidR="005054E9" w:rsidRPr="00C22A1A" w:rsidRDefault="005054E9" w:rsidP="0083261F">
            <w:pPr>
              <w:jc w:val="both"/>
            </w:pPr>
            <w:r w:rsidRPr="00C22A1A">
              <w:t>Prova Escrita</w:t>
            </w:r>
          </w:p>
        </w:tc>
        <w:tc>
          <w:tcPr>
            <w:tcW w:w="4252" w:type="dxa"/>
          </w:tcPr>
          <w:p w:rsidR="005054E9" w:rsidRPr="00C22A1A" w:rsidRDefault="005054E9" w:rsidP="0083261F">
            <w:pPr>
              <w:jc w:val="both"/>
            </w:pPr>
            <w:r w:rsidRPr="00C22A1A">
              <w:t>Reprodução e manipulação da fertilidade</w:t>
            </w:r>
          </w:p>
        </w:tc>
        <w:tc>
          <w:tcPr>
            <w:tcW w:w="2157" w:type="dxa"/>
            <w:vMerge w:val="restart"/>
            <w:vAlign w:val="center"/>
          </w:tcPr>
          <w:p w:rsidR="005054E9" w:rsidRPr="00C22A1A" w:rsidRDefault="005054E9" w:rsidP="0083261F">
            <w:pPr>
              <w:jc w:val="both"/>
            </w:pPr>
            <w:r w:rsidRPr="00C22A1A">
              <w:t>70% (140 pontos)</w:t>
            </w:r>
          </w:p>
        </w:tc>
      </w:tr>
      <w:tr w:rsidR="005054E9" w:rsidRPr="00C22A1A" w:rsidTr="0083261F">
        <w:tc>
          <w:tcPr>
            <w:tcW w:w="2235" w:type="dxa"/>
            <w:vMerge/>
          </w:tcPr>
          <w:p w:rsidR="005054E9" w:rsidRPr="00C22A1A" w:rsidRDefault="005054E9" w:rsidP="0083261F">
            <w:pPr>
              <w:jc w:val="both"/>
            </w:pPr>
          </w:p>
        </w:tc>
        <w:tc>
          <w:tcPr>
            <w:tcW w:w="4252" w:type="dxa"/>
          </w:tcPr>
          <w:p w:rsidR="005054E9" w:rsidRPr="00C22A1A" w:rsidRDefault="005054E9" w:rsidP="0083261F">
            <w:pPr>
              <w:jc w:val="both"/>
            </w:pPr>
            <w:r w:rsidRPr="00C22A1A">
              <w:t>Património genético</w:t>
            </w:r>
          </w:p>
        </w:tc>
        <w:tc>
          <w:tcPr>
            <w:tcW w:w="2157" w:type="dxa"/>
            <w:vMerge/>
          </w:tcPr>
          <w:p w:rsidR="005054E9" w:rsidRPr="00C22A1A" w:rsidRDefault="005054E9" w:rsidP="0083261F">
            <w:pPr>
              <w:jc w:val="both"/>
            </w:pPr>
          </w:p>
        </w:tc>
      </w:tr>
      <w:tr w:rsidR="005054E9" w:rsidRPr="00C22A1A" w:rsidTr="0083261F">
        <w:tc>
          <w:tcPr>
            <w:tcW w:w="2235" w:type="dxa"/>
            <w:vMerge/>
          </w:tcPr>
          <w:p w:rsidR="005054E9" w:rsidRPr="00C22A1A" w:rsidRDefault="005054E9" w:rsidP="0083261F">
            <w:pPr>
              <w:jc w:val="both"/>
            </w:pPr>
          </w:p>
        </w:tc>
        <w:tc>
          <w:tcPr>
            <w:tcW w:w="4252" w:type="dxa"/>
          </w:tcPr>
          <w:p w:rsidR="005054E9" w:rsidRPr="00C22A1A" w:rsidRDefault="005054E9" w:rsidP="0083261F">
            <w:pPr>
              <w:jc w:val="both"/>
            </w:pPr>
            <w:r w:rsidRPr="00C22A1A">
              <w:t>Imunidade e controlo de doenças</w:t>
            </w:r>
          </w:p>
        </w:tc>
        <w:tc>
          <w:tcPr>
            <w:tcW w:w="2157" w:type="dxa"/>
            <w:vMerge/>
          </w:tcPr>
          <w:p w:rsidR="005054E9" w:rsidRPr="00C22A1A" w:rsidRDefault="005054E9" w:rsidP="0083261F">
            <w:pPr>
              <w:jc w:val="both"/>
            </w:pPr>
          </w:p>
        </w:tc>
      </w:tr>
      <w:tr w:rsidR="005054E9" w:rsidRPr="00C22A1A" w:rsidTr="0083261F">
        <w:tc>
          <w:tcPr>
            <w:tcW w:w="2235" w:type="dxa"/>
            <w:vMerge/>
          </w:tcPr>
          <w:p w:rsidR="005054E9" w:rsidRPr="00C22A1A" w:rsidRDefault="005054E9" w:rsidP="0083261F">
            <w:pPr>
              <w:jc w:val="both"/>
            </w:pPr>
          </w:p>
        </w:tc>
        <w:tc>
          <w:tcPr>
            <w:tcW w:w="4252" w:type="dxa"/>
          </w:tcPr>
          <w:p w:rsidR="005054E9" w:rsidRPr="00C22A1A" w:rsidRDefault="005054E9" w:rsidP="0083261F">
            <w:pPr>
              <w:jc w:val="both"/>
            </w:pPr>
            <w:r w:rsidRPr="00C22A1A">
              <w:t>Produção de alimentos e sustentabilidade</w:t>
            </w:r>
          </w:p>
        </w:tc>
        <w:tc>
          <w:tcPr>
            <w:tcW w:w="2157" w:type="dxa"/>
            <w:vMerge w:val="restart"/>
            <w:vAlign w:val="center"/>
          </w:tcPr>
          <w:p w:rsidR="005054E9" w:rsidRPr="00C22A1A" w:rsidRDefault="005054E9" w:rsidP="0083261F">
            <w:pPr>
              <w:jc w:val="both"/>
            </w:pPr>
            <w:r w:rsidRPr="00C22A1A">
              <w:t>30% (60 pontos)</w:t>
            </w:r>
          </w:p>
        </w:tc>
      </w:tr>
      <w:tr w:rsidR="005054E9" w:rsidRPr="00C22A1A" w:rsidTr="0083261F">
        <w:tc>
          <w:tcPr>
            <w:tcW w:w="2235" w:type="dxa"/>
            <w:vMerge/>
          </w:tcPr>
          <w:p w:rsidR="005054E9" w:rsidRPr="00C22A1A" w:rsidRDefault="005054E9" w:rsidP="0083261F">
            <w:pPr>
              <w:jc w:val="both"/>
            </w:pPr>
          </w:p>
        </w:tc>
        <w:tc>
          <w:tcPr>
            <w:tcW w:w="4252" w:type="dxa"/>
          </w:tcPr>
          <w:p w:rsidR="005054E9" w:rsidRPr="00C22A1A" w:rsidRDefault="005054E9" w:rsidP="0083261F">
            <w:pPr>
              <w:jc w:val="both"/>
            </w:pPr>
            <w:r w:rsidRPr="00C22A1A">
              <w:t>Preservar e recuperar o meio ambiente</w:t>
            </w:r>
          </w:p>
        </w:tc>
        <w:tc>
          <w:tcPr>
            <w:tcW w:w="2157" w:type="dxa"/>
            <w:vMerge/>
          </w:tcPr>
          <w:p w:rsidR="005054E9" w:rsidRPr="00C22A1A" w:rsidRDefault="005054E9" w:rsidP="0083261F">
            <w:pPr>
              <w:jc w:val="both"/>
            </w:pPr>
          </w:p>
        </w:tc>
      </w:tr>
      <w:tr w:rsidR="005054E9" w:rsidRPr="00C22A1A" w:rsidTr="0083261F">
        <w:tc>
          <w:tcPr>
            <w:tcW w:w="2235" w:type="dxa"/>
            <w:vAlign w:val="center"/>
          </w:tcPr>
          <w:p w:rsidR="005054E9" w:rsidRPr="00C22A1A" w:rsidRDefault="005054E9" w:rsidP="0083261F">
            <w:pPr>
              <w:jc w:val="both"/>
            </w:pPr>
            <w:r w:rsidRPr="00C22A1A">
              <w:t>Componente Prática</w:t>
            </w:r>
          </w:p>
        </w:tc>
        <w:tc>
          <w:tcPr>
            <w:tcW w:w="4252" w:type="dxa"/>
          </w:tcPr>
          <w:p w:rsidR="005054E9" w:rsidRPr="00C22A1A" w:rsidRDefault="005054E9" w:rsidP="0083261F">
            <w:pPr>
              <w:jc w:val="both"/>
            </w:pPr>
            <w:r w:rsidRPr="00C22A1A">
              <w:t>Trabalhos laboratoriais propostos no programa da disciplina</w:t>
            </w:r>
          </w:p>
        </w:tc>
        <w:tc>
          <w:tcPr>
            <w:tcW w:w="2157" w:type="dxa"/>
            <w:vAlign w:val="center"/>
          </w:tcPr>
          <w:p w:rsidR="005054E9" w:rsidRPr="00C22A1A" w:rsidRDefault="005054E9" w:rsidP="0083261F">
            <w:pPr>
              <w:jc w:val="both"/>
            </w:pPr>
            <w:r w:rsidRPr="00C22A1A">
              <w:t>200 pontos</w:t>
            </w:r>
          </w:p>
        </w:tc>
      </w:tr>
    </w:tbl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left="284"/>
        <w:jc w:val="both"/>
      </w:pP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>A classificação desta prova de Biologia é calculada através da média ponderada e arredondada às unidades das classificações obtidas nas duas componentes (escrita e prática). A cotação global de cada uma das componentes é de 200 pontos.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</w:rPr>
      </w:pPr>
      <w:r w:rsidRPr="00C22A1A">
        <w:rPr>
          <w:rFonts w:cs="TrebuchetMS"/>
          <w:color w:val="231F20"/>
        </w:rPr>
        <w:t>A tipologia dos itens, o número de itens e a cotação por item apresentam-se no quadro seguinte: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231F20"/>
          <w:u w:val="single"/>
        </w:rPr>
      </w:pPr>
      <w:r w:rsidRPr="00C22A1A">
        <w:rPr>
          <w:rFonts w:cs="TrebuchetMS"/>
          <w:color w:val="231F20"/>
          <w:u w:val="single"/>
        </w:rPr>
        <w:t>Tipologia, número de itens e cotação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4"/>
        <w:gridCol w:w="2145"/>
        <w:gridCol w:w="2113"/>
        <w:gridCol w:w="2112"/>
      </w:tblGrid>
      <w:tr w:rsidR="005054E9" w:rsidRPr="00C22A1A" w:rsidTr="0083261F">
        <w:tc>
          <w:tcPr>
            <w:tcW w:w="2161" w:type="dxa"/>
            <w:vAlign w:val="center"/>
          </w:tcPr>
          <w:p w:rsidR="005054E9" w:rsidRPr="00C22A1A" w:rsidRDefault="005054E9" w:rsidP="0083261F">
            <w:pPr>
              <w:jc w:val="center"/>
            </w:pPr>
            <w:r w:rsidRPr="00C22A1A">
              <w:t>Tipologia de itens</w:t>
            </w:r>
          </w:p>
        </w:tc>
        <w:tc>
          <w:tcPr>
            <w:tcW w:w="2161" w:type="dxa"/>
            <w:vAlign w:val="center"/>
          </w:tcPr>
          <w:p w:rsidR="005054E9" w:rsidRPr="00C22A1A" w:rsidRDefault="005054E9" w:rsidP="0083261F">
            <w:pPr>
              <w:jc w:val="center"/>
            </w:pPr>
          </w:p>
        </w:tc>
        <w:tc>
          <w:tcPr>
            <w:tcW w:w="2161" w:type="dxa"/>
            <w:vAlign w:val="center"/>
          </w:tcPr>
          <w:p w:rsidR="005054E9" w:rsidRPr="00C22A1A" w:rsidRDefault="005054E9" w:rsidP="0083261F">
            <w:pPr>
              <w:jc w:val="center"/>
            </w:pPr>
            <w:r w:rsidRPr="00C22A1A">
              <w:t>Número de itens</w:t>
            </w:r>
          </w:p>
        </w:tc>
        <w:tc>
          <w:tcPr>
            <w:tcW w:w="2161" w:type="dxa"/>
            <w:vAlign w:val="center"/>
          </w:tcPr>
          <w:p w:rsidR="005054E9" w:rsidRDefault="005054E9" w:rsidP="0083261F">
            <w:pPr>
              <w:jc w:val="center"/>
            </w:pPr>
            <w:r w:rsidRPr="00C22A1A">
              <w:t>Cotação por item</w:t>
            </w:r>
          </w:p>
          <w:p w:rsidR="005054E9" w:rsidRPr="00C22A1A" w:rsidRDefault="005054E9" w:rsidP="0083261F">
            <w:pPr>
              <w:jc w:val="center"/>
            </w:pPr>
            <w:r>
              <w:t>(em pontos)</w:t>
            </w:r>
          </w:p>
        </w:tc>
      </w:tr>
      <w:tr w:rsidR="005054E9" w:rsidRPr="00C22A1A" w:rsidTr="0083261F">
        <w:tc>
          <w:tcPr>
            <w:tcW w:w="2161" w:type="dxa"/>
            <w:vAlign w:val="center"/>
          </w:tcPr>
          <w:p w:rsidR="005054E9" w:rsidRPr="00C22A1A" w:rsidRDefault="005054E9" w:rsidP="0083261F">
            <w:r w:rsidRPr="00C22A1A">
              <w:t>Itens de seleção</w:t>
            </w:r>
          </w:p>
        </w:tc>
        <w:tc>
          <w:tcPr>
            <w:tcW w:w="2161" w:type="dxa"/>
          </w:tcPr>
          <w:p w:rsidR="005054E9" w:rsidRPr="00C22A1A" w:rsidRDefault="005054E9" w:rsidP="0083261F">
            <w:pPr>
              <w:jc w:val="both"/>
            </w:pPr>
            <w:r w:rsidRPr="00C22A1A">
              <w:t>Escolha múltipla</w:t>
            </w:r>
          </w:p>
          <w:p w:rsidR="005054E9" w:rsidRPr="00C22A1A" w:rsidRDefault="005054E9" w:rsidP="0083261F">
            <w:pPr>
              <w:jc w:val="both"/>
            </w:pPr>
            <w:r w:rsidRPr="00C22A1A">
              <w:t>Ordenação</w:t>
            </w:r>
          </w:p>
          <w:p w:rsidR="005054E9" w:rsidRDefault="005054E9" w:rsidP="0083261F">
            <w:pPr>
              <w:jc w:val="both"/>
            </w:pPr>
            <w:r w:rsidRPr="00C22A1A">
              <w:t>Associação</w:t>
            </w:r>
          </w:p>
          <w:p w:rsidR="005054E9" w:rsidRPr="00C22A1A" w:rsidRDefault="005054E9" w:rsidP="0083261F">
            <w:pPr>
              <w:jc w:val="both"/>
            </w:pPr>
            <w:r>
              <w:t>Verdadeiro/Falso</w:t>
            </w:r>
          </w:p>
        </w:tc>
        <w:tc>
          <w:tcPr>
            <w:tcW w:w="2161" w:type="dxa"/>
            <w:vAlign w:val="center"/>
          </w:tcPr>
          <w:p w:rsidR="005054E9" w:rsidRPr="00C22A1A" w:rsidRDefault="005054E9" w:rsidP="0083261F">
            <w:pPr>
              <w:jc w:val="center"/>
            </w:pPr>
            <w:r>
              <w:t>22 a 26</w:t>
            </w:r>
          </w:p>
        </w:tc>
        <w:tc>
          <w:tcPr>
            <w:tcW w:w="2161" w:type="dxa"/>
            <w:vAlign w:val="center"/>
          </w:tcPr>
          <w:p w:rsidR="005054E9" w:rsidRPr="00C22A1A" w:rsidRDefault="005054E9" w:rsidP="0083261F">
            <w:pPr>
              <w:jc w:val="center"/>
            </w:pPr>
            <w:r>
              <w:t>5 a 10</w:t>
            </w:r>
          </w:p>
        </w:tc>
      </w:tr>
      <w:tr w:rsidR="005054E9" w:rsidRPr="00C22A1A" w:rsidTr="0083261F">
        <w:trPr>
          <w:trHeight w:val="547"/>
        </w:trPr>
        <w:tc>
          <w:tcPr>
            <w:tcW w:w="2161" w:type="dxa"/>
            <w:vAlign w:val="center"/>
          </w:tcPr>
          <w:p w:rsidR="005054E9" w:rsidRPr="00C22A1A" w:rsidRDefault="005054E9" w:rsidP="0083261F">
            <w:r w:rsidRPr="00C22A1A">
              <w:t>Itens de Construção</w:t>
            </w:r>
          </w:p>
        </w:tc>
        <w:tc>
          <w:tcPr>
            <w:tcW w:w="2161" w:type="dxa"/>
          </w:tcPr>
          <w:p w:rsidR="005054E9" w:rsidRPr="00C22A1A" w:rsidRDefault="005054E9" w:rsidP="0083261F">
            <w:pPr>
              <w:jc w:val="both"/>
            </w:pPr>
            <w:r w:rsidRPr="00C22A1A">
              <w:t>Resposta Curta</w:t>
            </w:r>
          </w:p>
          <w:p w:rsidR="005054E9" w:rsidRPr="00C22A1A" w:rsidRDefault="005054E9" w:rsidP="0083261F">
            <w:pPr>
              <w:jc w:val="both"/>
            </w:pPr>
            <w:r w:rsidRPr="00C22A1A">
              <w:t>Resposta Restrita</w:t>
            </w:r>
          </w:p>
        </w:tc>
        <w:tc>
          <w:tcPr>
            <w:tcW w:w="2161" w:type="dxa"/>
            <w:vAlign w:val="center"/>
          </w:tcPr>
          <w:p w:rsidR="005054E9" w:rsidRPr="00C22A1A" w:rsidRDefault="005054E9" w:rsidP="0083261F">
            <w:pPr>
              <w:jc w:val="center"/>
            </w:pPr>
            <w:r>
              <w:t>4 a 8</w:t>
            </w:r>
          </w:p>
        </w:tc>
        <w:tc>
          <w:tcPr>
            <w:tcW w:w="2161" w:type="dxa"/>
            <w:vAlign w:val="center"/>
          </w:tcPr>
          <w:p w:rsidR="005054E9" w:rsidRPr="00C22A1A" w:rsidRDefault="005054E9" w:rsidP="0083261F">
            <w:pPr>
              <w:jc w:val="center"/>
            </w:pPr>
            <w:r>
              <w:t>10 a 15</w:t>
            </w:r>
          </w:p>
        </w:tc>
      </w:tr>
    </w:tbl>
    <w:p w:rsidR="005054E9" w:rsidRPr="00C22A1A" w:rsidRDefault="005054E9" w:rsidP="005054E9">
      <w:pPr>
        <w:spacing w:line="360" w:lineRule="auto"/>
        <w:jc w:val="both"/>
      </w:pP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-Bold"/>
          <w:b/>
          <w:bCs/>
        </w:rPr>
      </w:pPr>
      <w:r>
        <w:rPr>
          <w:rFonts w:cs="TrebuchetMS-Bold"/>
          <w:b/>
          <w:bCs/>
        </w:rPr>
        <w:t>3</w:t>
      </w:r>
      <w:r w:rsidRPr="00C22A1A">
        <w:rPr>
          <w:rFonts w:cs="TrebuchetMS-Bold"/>
          <w:b/>
          <w:bCs/>
        </w:rPr>
        <w:t>. Critérios gerais de classificação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</w:rPr>
      </w:pPr>
      <w:r w:rsidRPr="00C22A1A">
        <w:rPr>
          <w:rFonts w:cs="TrebuchetMS"/>
        </w:rPr>
        <w:t>As classificações a atribuir às respostas são expressas em números inteiros e decorrem da aplicação dos critérios gerais e específicos de classificação.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</w:rPr>
      </w:pPr>
      <w:r w:rsidRPr="00C22A1A">
        <w:rPr>
          <w:rFonts w:cs="TrebuchetMS"/>
        </w:rPr>
        <w:t xml:space="preserve">As respostas que se revelem ilegíveis ou que não possam ser claramente identificadas são classificadas com zero pontos. No entanto, em caso de omissão ou de engano na identificação </w:t>
      </w:r>
      <w:r w:rsidRPr="00C22A1A">
        <w:rPr>
          <w:rFonts w:cs="TrebuchetMS"/>
        </w:rPr>
        <w:lastRenderedPageBreak/>
        <w:t>de um item, o mesmo pode ser classificado se, pela resposta apresentada, for possível identificá-lo inequivocamente.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</w:rPr>
      </w:pPr>
      <w:r w:rsidRPr="00C22A1A">
        <w:rPr>
          <w:rFonts w:cs="TrebuchetMS"/>
        </w:rPr>
        <w:t xml:space="preserve">Se o examinando responder a um mesmo item mais do que uma vez, não eliminando </w:t>
      </w:r>
      <w:r>
        <w:rPr>
          <w:rFonts w:cs="TrebuchetMS"/>
        </w:rPr>
        <w:t>inequivocamente a(s) resposta(s) que não deseja que seja</w:t>
      </w:r>
      <w:r w:rsidRPr="00C22A1A">
        <w:rPr>
          <w:rFonts w:cs="TrebuchetMS"/>
        </w:rPr>
        <w:t>(m) classif</w:t>
      </w:r>
      <w:r>
        <w:rPr>
          <w:rFonts w:cs="TrebuchetMS"/>
        </w:rPr>
        <w:t>icada</w:t>
      </w:r>
      <w:r w:rsidRPr="00C22A1A">
        <w:rPr>
          <w:rFonts w:cs="TrebuchetMS"/>
        </w:rPr>
        <w:t>(s), deve ser apena considerada a resposta apresentada em primeiro lugar.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</w:rPr>
      </w:pPr>
      <w:r w:rsidRPr="00C22A1A">
        <w:rPr>
          <w:rFonts w:cs="TrebuchetMS"/>
        </w:rPr>
        <w:t>Serão classificados os comportamentos observáveis, na componente prática, pelo júri, com recurso a uma ficha de observação da Técnica Experimental.</w:t>
      </w:r>
    </w:p>
    <w:p w:rsidR="005054E9" w:rsidRPr="00C22A1A" w:rsidRDefault="005054E9" w:rsidP="005054E9">
      <w:pPr>
        <w:spacing w:line="360" w:lineRule="auto"/>
        <w:ind w:firstLine="284"/>
        <w:jc w:val="both"/>
        <w:rPr>
          <w:rFonts w:cs="TrebuchetMS"/>
        </w:rPr>
      </w:pPr>
      <w:r w:rsidRPr="00C22A1A">
        <w:rPr>
          <w:rFonts w:cs="TrebuchetMS"/>
        </w:rPr>
        <w:t>A classificação final da prova (</w:t>
      </w:r>
      <w:r w:rsidRPr="00C22A1A">
        <w:rPr>
          <w:rFonts w:cs="TrebuchetMS-Italic"/>
          <w:i/>
          <w:iCs/>
        </w:rPr>
        <w:t>cf.</w:t>
      </w:r>
      <w:r w:rsidRPr="00C22A1A">
        <w:rPr>
          <w:rFonts w:cs="TrebuchetMS"/>
        </w:rPr>
        <w:t>) resulta da aplicação da fórmula:</w:t>
      </w:r>
    </w:p>
    <w:p w:rsidR="005054E9" w:rsidRPr="00C22A1A" w:rsidRDefault="005054E9" w:rsidP="005054E9">
      <w:pPr>
        <w:spacing w:line="360" w:lineRule="auto"/>
        <w:jc w:val="both"/>
        <w:rPr>
          <w:rFonts w:eastAsiaTheme="minorEastAsia"/>
        </w:rPr>
      </w:pPr>
      <m:oMathPara>
        <m:oMath>
          <m:r>
            <w:rPr>
              <w:rFonts w:ascii="Cambria Math" w:eastAsia="CambriaMath" w:hAnsi="Cambria Math" w:cs="Cambria Math"/>
            </w:rPr>
            <m:t>c</m:t>
          </m:r>
          <m:r>
            <w:rPr>
              <w:rFonts w:ascii="Cambria Math" w:eastAsia="CambriaMath" w:cs="Cambria Math"/>
            </w:rPr>
            <m:t>.</m:t>
          </m:r>
          <m:r>
            <w:rPr>
              <w:rFonts w:ascii="Cambria Math" w:eastAsia="CambriaMath" w:hAnsi="Cambria Math" w:cs="Cambria Math"/>
            </w:rPr>
            <m:t>f</m:t>
          </m:r>
          <m:r>
            <w:rPr>
              <w:rFonts w:ascii="Cambria Math" w:eastAsia="CambriaMath" w:cs="Cambria Math"/>
            </w:rPr>
            <m:t>.=</m:t>
          </m:r>
          <m:f>
            <m:fPr>
              <m:ctrlPr>
                <w:rPr>
                  <w:rFonts w:ascii="Cambria Math" w:eastAsia="CambriaMath" w:hAnsi="Cambria Math" w:cs="Cambria Math"/>
                  <w:i/>
                </w:rPr>
              </m:ctrlPr>
            </m:fPr>
            <m:num>
              <m:r>
                <w:rPr>
                  <w:rFonts w:ascii="Cambria Math" w:eastAsia="CambriaMath" w:hAnsi="Cambria Math" w:cs="Cambria Math"/>
                </w:rPr>
                <m:t>componente</m:t>
              </m:r>
              <m:r>
                <w:rPr>
                  <w:rFonts w:ascii="Cambria Math" w:eastAsia="CambriaMath" w:cs="Cambria Math"/>
                </w:rPr>
                <m:t xml:space="preserve"> </m:t>
              </m:r>
              <m:r>
                <w:rPr>
                  <w:rFonts w:ascii="Cambria Math" w:eastAsia="CambriaMath" w:hAnsi="Cambria Math" w:cs="Cambria Math"/>
                </w:rPr>
                <m:t>prática</m:t>
              </m:r>
              <m:r>
                <w:rPr>
                  <w:rFonts w:ascii="Cambria Math" w:eastAsia="CambriaMath" w:cs="Cambria Math"/>
                </w:rPr>
                <m:t xml:space="preserve"> </m:t>
              </m:r>
              <m:r>
                <w:rPr>
                  <w:rFonts w:ascii="Cambria Math" w:eastAsia="CambriaMath" w:hAnsi="Cambria Math" w:cs="Cambria Math"/>
                </w:rPr>
                <m:t>x</m:t>
              </m:r>
              <m:r>
                <w:rPr>
                  <w:rFonts w:ascii="Cambria Math" w:eastAsia="CambriaMath" w:cs="Cambria Math"/>
                </w:rPr>
                <m:t xml:space="preserve"> 30+</m:t>
              </m:r>
              <m:r>
                <w:rPr>
                  <w:rFonts w:ascii="Cambria Math" w:eastAsia="CambriaMath" w:hAnsi="Cambria Math" w:cs="Cambria Math"/>
                </w:rPr>
                <m:t>componente</m:t>
              </m:r>
              <m:r>
                <w:rPr>
                  <w:rFonts w:ascii="Cambria Math" w:eastAsia="CambriaMath" w:cs="Cambria Math"/>
                </w:rPr>
                <m:t xml:space="preserve"> </m:t>
              </m:r>
              <m:r>
                <w:rPr>
                  <w:rFonts w:ascii="Cambria Math" w:eastAsia="CambriaMath" w:hAnsi="Cambria Math" w:cs="Cambria Math"/>
                </w:rPr>
                <m:t>escrita</m:t>
              </m:r>
              <m:r>
                <w:rPr>
                  <w:rFonts w:ascii="Cambria Math" w:eastAsia="CambriaMath" w:cs="Cambria Math"/>
                </w:rPr>
                <m:t xml:space="preserve"> </m:t>
              </m:r>
              <m:r>
                <w:rPr>
                  <w:rFonts w:ascii="Cambria Math" w:eastAsia="CambriaMath" w:hAnsi="Cambria Math" w:cs="Cambria Math"/>
                </w:rPr>
                <m:t>x</m:t>
              </m:r>
              <m:r>
                <w:rPr>
                  <w:rFonts w:ascii="Cambria Math" w:eastAsia="CambriaMath" w:cs="Cambria Math"/>
                </w:rPr>
                <m:t xml:space="preserve"> 70</m:t>
              </m:r>
            </m:num>
            <m:den>
              <m:r>
                <w:rPr>
                  <w:rFonts w:ascii="Cambria Math" w:eastAsia="CambriaMath" w:cs="Cambria Math"/>
                </w:rPr>
                <m:t>100</m:t>
              </m:r>
            </m:den>
          </m:f>
        </m:oMath>
      </m:oMathPara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u w:val="single"/>
        </w:rPr>
      </w:pPr>
      <w:r w:rsidRPr="00C22A1A">
        <w:rPr>
          <w:rFonts w:cs="TrebuchetMS"/>
          <w:u w:val="single"/>
        </w:rPr>
        <w:t>Itens de seleção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</w:rPr>
      </w:pPr>
      <w:r w:rsidRPr="00C22A1A">
        <w:rPr>
          <w:rFonts w:cs="TrebuchetMS"/>
        </w:rPr>
        <w:t xml:space="preserve">Nos itens de </w:t>
      </w:r>
      <w:r w:rsidRPr="00C22A1A">
        <w:rPr>
          <w:rFonts w:cs="TrebuchetMS-Bold"/>
          <w:b/>
          <w:bCs/>
        </w:rPr>
        <w:t>escolha múltipla</w:t>
      </w:r>
      <w:r w:rsidRPr="00C22A1A">
        <w:rPr>
          <w:rFonts w:cs="TrebuchetMS"/>
        </w:rPr>
        <w:t>, é atribuída a cotação total à resposta correta, sendo as respostas incorretas (que incluem as que apresentam mais do que uma opção) cotadas com zero pontos.</w:t>
      </w:r>
      <w:r>
        <w:rPr>
          <w:rFonts w:cs="TrebuchetMS"/>
        </w:rPr>
        <w:t xml:space="preserve"> Não há lugar a classificações intermédias.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</w:rPr>
      </w:pPr>
      <w:r w:rsidRPr="00C22A1A">
        <w:rPr>
          <w:rFonts w:cs="TrebuchetMS"/>
        </w:rPr>
        <w:t>Nos itens</w:t>
      </w:r>
      <w:r>
        <w:rPr>
          <w:rFonts w:cs="TrebuchetMS-Bold"/>
          <w:bCs/>
        </w:rPr>
        <w:t xml:space="preserve"> </w:t>
      </w:r>
      <w:r w:rsidRPr="00C22A1A">
        <w:rPr>
          <w:rFonts w:cs="TrebuchetMS"/>
        </w:rPr>
        <w:t xml:space="preserve">de </w:t>
      </w:r>
      <w:r w:rsidRPr="00C22A1A">
        <w:rPr>
          <w:rFonts w:cs="TrebuchetMS-Bold"/>
          <w:b/>
          <w:bCs/>
        </w:rPr>
        <w:t xml:space="preserve">associação </w:t>
      </w:r>
      <w:r w:rsidRPr="00C22A1A">
        <w:rPr>
          <w:rFonts w:cs="TrebuchetMS"/>
        </w:rPr>
        <w:t xml:space="preserve">ou de </w:t>
      </w:r>
      <w:r w:rsidRPr="00C22A1A">
        <w:rPr>
          <w:rFonts w:cs="TrebuchetMS-Bold"/>
          <w:b/>
          <w:bCs/>
        </w:rPr>
        <w:t>correspondência</w:t>
      </w:r>
      <w:r w:rsidRPr="00C22A1A">
        <w:rPr>
          <w:rFonts w:cs="TrebuchetMS"/>
        </w:rPr>
        <w:t>, a classificação a atribuir tem em conta o nível de desempenho revelado na resposta. Nos itens de associação,</w:t>
      </w:r>
      <w:r>
        <w:rPr>
          <w:rFonts w:cs="TrebuchetMS"/>
        </w:rPr>
        <w:t xml:space="preserve"> </w:t>
      </w:r>
      <w:r w:rsidRPr="00C22A1A">
        <w:rPr>
          <w:rFonts w:cs="TrebuchetMS"/>
        </w:rPr>
        <w:t>considera-se incorreta qualquer correspondência de mais do que um elemento da chave a uma afirmação/estrutura.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</w:rPr>
      </w:pPr>
      <w:r w:rsidRPr="00C22A1A">
        <w:rPr>
          <w:rFonts w:cs="TrebuchetMS"/>
        </w:rPr>
        <w:t xml:space="preserve">Nos itens de </w:t>
      </w:r>
      <w:r w:rsidRPr="00C22A1A">
        <w:rPr>
          <w:rFonts w:cs="TrebuchetMS-Bold"/>
          <w:b/>
          <w:bCs/>
        </w:rPr>
        <w:t>verdadeiro/falso</w:t>
      </w:r>
      <w:r w:rsidRPr="00C22A1A">
        <w:rPr>
          <w:rFonts w:cs="TrebuchetMS"/>
        </w:rPr>
        <w:t>, serão cotadas com zero pontos as respostas em que todas as afirmações sejam avaliadas como verdadeiras ou como falsas.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</w:rPr>
      </w:pPr>
      <w:r w:rsidRPr="00C22A1A">
        <w:rPr>
          <w:rFonts w:cs="TrebuchetMS"/>
        </w:rPr>
        <w:t xml:space="preserve">Nos itens de </w:t>
      </w:r>
      <w:r w:rsidRPr="00C22A1A">
        <w:rPr>
          <w:rFonts w:cs="TrebuchetMS-Bold"/>
          <w:b/>
          <w:bCs/>
        </w:rPr>
        <w:t>ordena</w:t>
      </w:r>
      <w:r>
        <w:rPr>
          <w:rFonts w:cs="TrebuchetMS-Bold"/>
          <w:b/>
          <w:bCs/>
        </w:rPr>
        <w:t>ção</w:t>
      </w:r>
      <w:r w:rsidRPr="00C22A1A">
        <w:rPr>
          <w:rFonts w:cs="TrebuchetMS"/>
        </w:rPr>
        <w:t>, só é atribuída cotação se a sequência estiver integralmente correta.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u w:val="single"/>
        </w:rPr>
      </w:pPr>
      <w:r w:rsidRPr="00C22A1A">
        <w:rPr>
          <w:rFonts w:cs="TrebuchetMS"/>
          <w:u w:val="single"/>
        </w:rPr>
        <w:t>Itens de construção</w:t>
      </w:r>
    </w:p>
    <w:p w:rsidR="005054E9" w:rsidRDefault="005054E9" w:rsidP="005054E9">
      <w:pPr>
        <w:pStyle w:val="PargrafodaLista"/>
        <w:autoSpaceDE w:val="0"/>
        <w:autoSpaceDN w:val="0"/>
        <w:adjustRightInd w:val="0"/>
        <w:spacing w:line="360" w:lineRule="auto"/>
        <w:ind w:left="0" w:firstLine="284"/>
        <w:jc w:val="both"/>
        <w:rPr>
          <w:rFonts w:cs="TrebuchetMS"/>
        </w:rPr>
      </w:pPr>
      <w:r>
        <w:rPr>
          <w:rFonts w:cs="TrebuchetMS"/>
        </w:rPr>
        <w:t xml:space="preserve">Nos itens de </w:t>
      </w:r>
      <w:r w:rsidRPr="00240B0E">
        <w:rPr>
          <w:rFonts w:cs="TrebuchetMS"/>
          <w:b/>
        </w:rPr>
        <w:t>resposta curta</w:t>
      </w:r>
      <w:r>
        <w:rPr>
          <w:rFonts w:cs="TrebuchetMS"/>
        </w:rPr>
        <w:t>, a</w:t>
      </w:r>
      <w:r w:rsidRPr="00C22A1A">
        <w:rPr>
          <w:rFonts w:cs="TrebuchetMS"/>
        </w:rPr>
        <w:t xml:space="preserve">s respostas </w:t>
      </w:r>
      <w:r>
        <w:rPr>
          <w:rFonts w:cs="TrebuchetMS"/>
        </w:rPr>
        <w:t xml:space="preserve">são classificadas de acordo com </w:t>
      </w:r>
      <w:r w:rsidRPr="00C22A1A">
        <w:rPr>
          <w:rFonts w:cs="TrebuchetMS"/>
        </w:rPr>
        <w:t>os elementos solicitados e apresentados.</w:t>
      </w:r>
    </w:p>
    <w:p w:rsidR="005054E9" w:rsidRPr="00C22A1A" w:rsidRDefault="005054E9" w:rsidP="005054E9">
      <w:pPr>
        <w:pStyle w:val="PargrafodaLista"/>
        <w:autoSpaceDE w:val="0"/>
        <w:autoSpaceDN w:val="0"/>
        <w:adjustRightInd w:val="0"/>
        <w:spacing w:line="360" w:lineRule="auto"/>
        <w:ind w:left="0" w:firstLine="284"/>
        <w:jc w:val="both"/>
        <w:rPr>
          <w:rFonts w:cs="TrebuchetMS"/>
        </w:rPr>
      </w:pPr>
      <w:r>
        <w:rPr>
          <w:rFonts w:cs="TrebuchetMS"/>
        </w:rPr>
        <w:t xml:space="preserve">Nos itens de </w:t>
      </w:r>
      <w:r w:rsidRPr="00240B0E">
        <w:rPr>
          <w:rFonts w:cs="TrebuchetMS"/>
          <w:b/>
        </w:rPr>
        <w:t>resposta restrita</w:t>
      </w:r>
      <w:r>
        <w:rPr>
          <w:rFonts w:cs="TrebuchetMS"/>
        </w:rPr>
        <w:t>, o</w:t>
      </w:r>
      <w:r w:rsidRPr="00C22A1A">
        <w:rPr>
          <w:rFonts w:cs="TrebuchetMS"/>
        </w:rPr>
        <w:t>s critérios de classificação das respostas aos itens de resposta restrita apresentam-se organizados por níveis de desempenho. A cada nível de desempenho corresponde uma dada pontuação.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</w:rPr>
      </w:pPr>
      <w:r w:rsidRPr="00C22A1A">
        <w:rPr>
          <w:rFonts w:cs="TrebuchetMS"/>
        </w:rPr>
        <w:t>É classificada com zero pontos qualquer resposta que não atinja o nível 1 de desempenho no domínio específico da disciplina.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</w:rPr>
      </w:pPr>
      <w:r w:rsidRPr="00C22A1A">
        <w:rPr>
          <w:rFonts w:cs="TrebuchetMS"/>
        </w:rPr>
        <w:lastRenderedPageBreak/>
        <w:t>A classificação das respostas centra-se nos tópicos de referência, tendo em conta o rigor científico dos conteúdos e a organização lógico-temática das ideias expressas no texto elaborado.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</w:rPr>
      </w:pPr>
      <w:r w:rsidRPr="00C22A1A">
        <w:rPr>
          <w:rFonts w:cs="TrebuchetMS"/>
        </w:rPr>
        <w:t>A avaliação das competências de comunicação escrita em língua portuguesa contribui para valorizar a classificação atribuída ao desempenho no domínio das competências específicas da disciplina. Esta valorização corresponde a cerca de 10% da cotação do item e faz-se de acordo com os níveis de desempenho a seguir descritos.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93"/>
        <w:gridCol w:w="7401"/>
      </w:tblGrid>
      <w:tr w:rsidR="005054E9" w:rsidRPr="00725F17" w:rsidTr="0083261F">
        <w:tc>
          <w:tcPr>
            <w:tcW w:w="1101" w:type="dxa"/>
            <w:vAlign w:val="center"/>
          </w:tcPr>
          <w:p w:rsidR="005054E9" w:rsidRPr="00725F17" w:rsidRDefault="005054E9" w:rsidP="0083261F">
            <w:pPr>
              <w:jc w:val="center"/>
              <w:rPr>
                <w:b/>
              </w:rPr>
            </w:pPr>
            <w:r w:rsidRPr="00725F17">
              <w:rPr>
                <w:b/>
              </w:rPr>
              <w:t>Nível</w:t>
            </w:r>
          </w:p>
        </w:tc>
        <w:tc>
          <w:tcPr>
            <w:tcW w:w="7512" w:type="dxa"/>
            <w:vAlign w:val="center"/>
          </w:tcPr>
          <w:p w:rsidR="005054E9" w:rsidRPr="00725F17" w:rsidRDefault="005054E9" w:rsidP="0083261F">
            <w:pPr>
              <w:jc w:val="center"/>
              <w:rPr>
                <w:b/>
              </w:rPr>
            </w:pPr>
            <w:r w:rsidRPr="00725F17">
              <w:rPr>
                <w:b/>
              </w:rPr>
              <w:t>Descritor</w:t>
            </w:r>
          </w:p>
        </w:tc>
      </w:tr>
      <w:tr w:rsidR="005054E9" w:rsidRPr="00C22A1A" w:rsidTr="0083261F">
        <w:tc>
          <w:tcPr>
            <w:tcW w:w="1101" w:type="dxa"/>
            <w:vAlign w:val="center"/>
          </w:tcPr>
          <w:p w:rsidR="005054E9" w:rsidRPr="00725F17" w:rsidRDefault="005054E9" w:rsidP="0083261F">
            <w:pPr>
              <w:jc w:val="center"/>
              <w:rPr>
                <w:b/>
              </w:rPr>
            </w:pPr>
            <w:r w:rsidRPr="00725F17">
              <w:rPr>
                <w:b/>
              </w:rPr>
              <w:t>3</w:t>
            </w:r>
          </w:p>
        </w:tc>
        <w:tc>
          <w:tcPr>
            <w:tcW w:w="7512" w:type="dxa"/>
          </w:tcPr>
          <w:p w:rsidR="005054E9" w:rsidRPr="00C22A1A" w:rsidRDefault="005054E9" w:rsidP="0083261F">
            <w:pPr>
              <w:autoSpaceDE w:val="0"/>
              <w:autoSpaceDN w:val="0"/>
              <w:adjustRightInd w:val="0"/>
              <w:jc w:val="both"/>
              <w:rPr>
                <w:rFonts w:cs="TrebuchetMS"/>
              </w:rPr>
            </w:pPr>
            <w:r w:rsidRPr="00C22A1A">
              <w:rPr>
                <w:rFonts w:cs="TrebuchetMS"/>
              </w:rPr>
              <w:t>Composição bem estruturada, sem erros de sintaxe, de pontuação e/ou de</w:t>
            </w:r>
          </w:p>
          <w:p w:rsidR="005054E9" w:rsidRPr="00C22A1A" w:rsidRDefault="005054E9" w:rsidP="0083261F">
            <w:pPr>
              <w:autoSpaceDE w:val="0"/>
              <w:autoSpaceDN w:val="0"/>
              <w:adjustRightInd w:val="0"/>
              <w:jc w:val="both"/>
              <w:rPr>
                <w:rFonts w:cs="TrebuchetMS"/>
              </w:rPr>
            </w:pPr>
            <w:r w:rsidRPr="00C22A1A">
              <w:rPr>
                <w:rFonts w:cs="TrebuchetMS"/>
              </w:rPr>
              <w:t>ortografia, ou com erros esporádicos, cuja gravidade não implique perda de</w:t>
            </w:r>
          </w:p>
          <w:p w:rsidR="005054E9" w:rsidRPr="00C22A1A" w:rsidRDefault="005054E9" w:rsidP="0083261F">
            <w:pPr>
              <w:jc w:val="both"/>
            </w:pPr>
            <w:r w:rsidRPr="00C22A1A">
              <w:rPr>
                <w:rFonts w:cs="TrebuchetMS"/>
              </w:rPr>
              <w:t>inteligibilidade e/ou de sentido.</w:t>
            </w:r>
          </w:p>
        </w:tc>
      </w:tr>
      <w:tr w:rsidR="005054E9" w:rsidRPr="00C22A1A" w:rsidTr="0083261F">
        <w:tc>
          <w:tcPr>
            <w:tcW w:w="1101" w:type="dxa"/>
            <w:vAlign w:val="center"/>
          </w:tcPr>
          <w:p w:rsidR="005054E9" w:rsidRPr="00725F17" w:rsidRDefault="005054E9" w:rsidP="0083261F">
            <w:pPr>
              <w:jc w:val="center"/>
              <w:rPr>
                <w:b/>
              </w:rPr>
            </w:pPr>
            <w:r w:rsidRPr="00725F17">
              <w:rPr>
                <w:b/>
              </w:rPr>
              <w:t>2</w:t>
            </w:r>
          </w:p>
        </w:tc>
        <w:tc>
          <w:tcPr>
            <w:tcW w:w="7512" w:type="dxa"/>
          </w:tcPr>
          <w:p w:rsidR="005054E9" w:rsidRPr="00C22A1A" w:rsidRDefault="005054E9" w:rsidP="0083261F">
            <w:pPr>
              <w:autoSpaceDE w:val="0"/>
              <w:autoSpaceDN w:val="0"/>
              <w:adjustRightInd w:val="0"/>
              <w:jc w:val="both"/>
              <w:rPr>
                <w:rFonts w:cs="TrebuchetMS"/>
              </w:rPr>
            </w:pPr>
            <w:r w:rsidRPr="00C22A1A">
              <w:rPr>
                <w:rFonts w:cs="TrebuchetMS"/>
              </w:rPr>
              <w:t>Composição razoavelmente estruturada, com alguns erros de sintaxe, de</w:t>
            </w:r>
          </w:p>
          <w:p w:rsidR="005054E9" w:rsidRPr="00C22A1A" w:rsidRDefault="005054E9" w:rsidP="0083261F">
            <w:pPr>
              <w:autoSpaceDE w:val="0"/>
              <w:autoSpaceDN w:val="0"/>
              <w:adjustRightInd w:val="0"/>
              <w:jc w:val="both"/>
              <w:rPr>
                <w:rFonts w:cs="TrebuchetMS"/>
              </w:rPr>
            </w:pPr>
            <w:r w:rsidRPr="00C22A1A">
              <w:rPr>
                <w:rFonts w:cs="TrebuchetMS"/>
              </w:rPr>
              <w:t>pontuação e/ou de ortografia, cuja gravidade não implique perda de</w:t>
            </w:r>
          </w:p>
          <w:p w:rsidR="005054E9" w:rsidRPr="00C22A1A" w:rsidRDefault="005054E9" w:rsidP="0083261F">
            <w:pPr>
              <w:jc w:val="both"/>
            </w:pPr>
            <w:r w:rsidRPr="00C22A1A">
              <w:rPr>
                <w:rFonts w:cs="TrebuchetMS"/>
              </w:rPr>
              <w:t>inteligibilidade e/ou de sentido.</w:t>
            </w:r>
          </w:p>
        </w:tc>
      </w:tr>
      <w:tr w:rsidR="005054E9" w:rsidRPr="00C22A1A" w:rsidTr="0083261F">
        <w:tc>
          <w:tcPr>
            <w:tcW w:w="1101" w:type="dxa"/>
            <w:vAlign w:val="center"/>
          </w:tcPr>
          <w:p w:rsidR="005054E9" w:rsidRPr="00725F17" w:rsidRDefault="005054E9" w:rsidP="0083261F">
            <w:pPr>
              <w:jc w:val="center"/>
              <w:rPr>
                <w:b/>
              </w:rPr>
            </w:pPr>
            <w:r w:rsidRPr="00725F17">
              <w:rPr>
                <w:b/>
              </w:rPr>
              <w:t>1</w:t>
            </w:r>
          </w:p>
        </w:tc>
        <w:tc>
          <w:tcPr>
            <w:tcW w:w="7512" w:type="dxa"/>
          </w:tcPr>
          <w:p w:rsidR="005054E9" w:rsidRPr="00C22A1A" w:rsidRDefault="005054E9" w:rsidP="0083261F">
            <w:pPr>
              <w:autoSpaceDE w:val="0"/>
              <w:autoSpaceDN w:val="0"/>
              <w:adjustRightInd w:val="0"/>
              <w:jc w:val="both"/>
              <w:rPr>
                <w:rFonts w:cs="TrebuchetMS"/>
              </w:rPr>
            </w:pPr>
            <w:r w:rsidRPr="00C22A1A">
              <w:rPr>
                <w:rFonts w:cs="TrebuchetMS"/>
              </w:rPr>
              <w:t>Composição sem estruturação aparente, com erros graves de sintaxe, de</w:t>
            </w:r>
          </w:p>
          <w:p w:rsidR="005054E9" w:rsidRPr="00C22A1A" w:rsidRDefault="005054E9" w:rsidP="0083261F">
            <w:pPr>
              <w:autoSpaceDE w:val="0"/>
              <w:autoSpaceDN w:val="0"/>
              <w:adjustRightInd w:val="0"/>
              <w:jc w:val="both"/>
              <w:rPr>
                <w:rFonts w:cs="TrebuchetMS"/>
              </w:rPr>
            </w:pPr>
            <w:r w:rsidRPr="00C22A1A">
              <w:rPr>
                <w:rFonts w:cs="TrebuchetMS"/>
              </w:rPr>
              <w:t>pontuação e/ou de ortografia, cuja gravidade implique perda frequente de</w:t>
            </w:r>
          </w:p>
          <w:p w:rsidR="005054E9" w:rsidRPr="00C22A1A" w:rsidRDefault="005054E9" w:rsidP="0083261F">
            <w:pPr>
              <w:jc w:val="both"/>
            </w:pPr>
            <w:r w:rsidRPr="00C22A1A">
              <w:rPr>
                <w:rFonts w:cs="TrebuchetMS"/>
              </w:rPr>
              <w:t>inteligibilidade e/ou de sentido.</w:t>
            </w:r>
          </w:p>
        </w:tc>
      </w:tr>
    </w:tbl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>No caso de a resposta não atingir o nível 1 de desempenho no domínio específico da disciplina, não é classificado o desempenho no domínio da comunicação escrita em língua portuguesa.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-Bold"/>
          <w:b/>
          <w:bCs/>
          <w:color w:val="231F20"/>
        </w:rPr>
      </w:pPr>
      <w:r>
        <w:rPr>
          <w:rFonts w:cs="TrebuchetMS-Bold"/>
          <w:b/>
          <w:bCs/>
          <w:color w:val="231F20"/>
        </w:rPr>
        <w:t>4</w:t>
      </w:r>
      <w:r w:rsidRPr="00C22A1A">
        <w:rPr>
          <w:rFonts w:cs="TrebuchetMS-Bold"/>
          <w:b/>
          <w:bCs/>
          <w:color w:val="231F20"/>
        </w:rPr>
        <w:t>. Material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>O examinando apenas pode usar, como material de escrita, caneta ou esferográfica de tinta indelével, azul ou preta.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>As respostas são registadas em folha própria fornecida pelo estabelecimento de ensino (modelo oficial).</w:t>
      </w:r>
    </w:p>
    <w:p w:rsidR="005054E9" w:rsidRPr="005054E9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FF"/>
        </w:rPr>
      </w:pPr>
      <w:r w:rsidRPr="00C22A1A">
        <w:rPr>
          <w:rFonts w:cs="TrebuchetMS"/>
          <w:color w:val="000000"/>
        </w:rPr>
        <w:t>Não é permitido o uso de corretor</w:t>
      </w:r>
      <w:r w:rsidRPr="00C22A1A">
        <w:rPr>
          <w:rFonts w:cs="TrebuchetMS"/>
          <w:color w:val="0000FF"/>
        </w:rPr>
        <w:t>.</w:t>
      </w:r>
    </w:p>
    <w:p w:rsidR="005054E9" w:rsidRPr="00C22A1A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-Bold"/>
          <w:b/>
          <w:bCs/>
          <w:color w:val="000000"/>
        </w:rPr>
      </w:pPr>
      <w:r>
        <w:rPr>
          <w:rFonts w:cs="TrebuchetMS-Bold"/>
          <w:b/>
          <w:bCs/>
          <w:color w:val="000000"/>
        </w:rPr>
        <w:t>5</w:t>
      </w:r>
      <w:r w:rsidRPr="00C22A1A">
        <w:rPr>
          <w:rFonts w:cs="TrebuchetMS-Bold"/>
          <w:b/>
          <w:bCs/>
          <w:color w:val="000000"/>
        </w:rPr>
        <w:t>. Duração da prova</w:t>
      </w:r>
    </w:p>
    <w:p w:rsidR="00D33638" w:rsidRPr="005054E9" w:rsidRDefault="005054E9" w:rsidP="005054E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TrebuchetMS"/>
          <w:color w:val="000000"/>
        </w:rPr>
      </w:pPr>
      <w:r w:rsidRPr="00C22A1A">
        <w:rPr>
          <w:rFonts w:cs="TrebuchetMS"/>
          <w:color w:val="000000"/>
        </w:rPr>
        <w:t xml:space="preserve">A prova de equivalência à frequência da disciplina de Biologia é constituída por uma prova  </w:t>
      </w:r>
      <w:r>
        <w:rPr>
          <w:rFonts w:cs="TrebuchetMS"/>
          <w:color w:val="000000"/>
        </w:rPr>
        <w:t>e</w:t>
      </w:r>
      <w:r w:rsidRPr="00C22A1A">
        <w:rPr>
          <w:rFonts w:cs="TrebuchetMS"/>
          <w:color w:val="000000"/>
        </w:rPr>
        <w:t>scrita com a duração de 90 minutos e uma componente prática com a duração de 90 minutos a que acresce a tolerância de 30 minutos.</w:t>
      </w:r>
    </w:p>
    <w:sectPr w:rsidR="00D33638" w:rsidRPr="005054E9" w:rsidSect="00D33638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CE6" w:rsidRDefault="00EB7CE6" w:rsidP="00D33638">
      <w:pPr>
        <w:spacing w:after="0" w:line="240" w:lineRule="auto"/>
      </w:pPr>
      <w:r>
        <w:separator/>
      </w:r>
    </w:p>
  </w:endnote>
  <w:endnote w:type="continuationSeparator" w:id="0">
    <w:p w:rsidR="00EB7CE6" w:rsidRDefault="00EB7CE6" w:rsidP="00D3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MS-Bold">
    <w:panose1 w:val="020B0703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20B0603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Italic">
    <w:panose1 w:val="020B0603020202090204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Arial Unicode MS"/>
    <w:panose1 w:val="020B0604020202020204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742463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3638" w:rsidRPr="00D33638" w:rsidRDefault="00D33638" w:rsidP="00D33638">
            <w:pPr>
              <w:pStyle w:val="Rodap"/>
              <w:pBdr>
                <w:top w:val="single" w:sz="2" w:space="1" w:color="auto"/>
              </w:pBdr>
              <w:jc w:val="right"/>
              <w:rPr>
                <w:sz w:val="20"/>
                <w:szCs w:val="20"/>
              </w:rPr>
            </w:pPr>
            <w:r w:rsidRPr="00D33638">
              <w:rPr>
                <w:sz w:val="20"/>
                <w:szCs w:val="20"/>
              </w:rPr>
              <w:t xml:space="preserve">Página </w:t>
            </w:r>
            <w:r w:rsidR="003A0F25" w:rsidRPr="00D33638">
              <w:rPr>
                <w:b/>
                <w:bCs/>
                <w:sz w:val="20"/>
                <w:szCs w:val="20"/>
              </w:rPr>
              <w:fldChar w:fldCharType="begin"/>
            </w:r>
            <w:r w:rsidRPr="00D33638">
              <w:rPr>
                <w:b/>
                <w:bCs/>
                <w:sz w:val="20"/>
                <w:szCs w:val="20"/>
              </w:rPr>
              <w:instrText>PAGE</w:instrText>
            </w:r>
            <w:r w:rsidR="003A0F25" w:rsidRPr="00D33638">
              <w:rPr>
                <w:b/>
                <w:bCs/>
                <w:sz w:val="20"/>
                <w:szCs w:val="20"/>
              </w:rPr>
              <w:fldChar w:fldCharType="separate"/>
            </w:r>
            <w:r w:rsidR="003131F1">
              <w:rPr>
                <w:b/>
                <w:bCs/>
                <w:noProof/>
                <w:sz w:val="20"/>
                <w:szCs w:val="20"/>
              </w:rPr>
              <w:t>6</w:t>
            </w:r>
            <w:r w:rsidR="003A0F25" w:rsidRPr="00D33638">
              <w:rPr>
                <w:b/>
                <w:bCs/>
                <w:sz w:val="20"/>
                <w:szCs w:val="20"/>
              </w:rPr>
              <w:fldChar w:fldCharType="end"/>
            </w:r>
            <w:r w:rsidRPr="00D33638">
              <w:rPr>
                <w:sz w:val="20"/>
                <w:szCs w:val="20"/>
              </w:rPr>
              <w:t xml:space="preserve"> de </w:t>
            </w:r>
            <w:r w:rsidR="003A0F25" w:rsidRPr="00D33638">
              <w:rPr>
                <w:b/>
                <w:bCs/>
                <w:sz w:val="20"/>
                <w:szCs w:val="20"/>
              </w:rPr>
              <w:fldChar w:fldCharType="begin"/>
            </w:r>
            <w:r w:rsidRPr="00D33638">
              <w:rPr>
                <w:b/>
                <w:bCs/>
                <w:sz w:val="20"/>
                <w:szCs w:val="20"/>
              </w:rPr>
              <w:instrText>NUMPAGES</w:instrText>
            </w:r>
            <w:r w:rsidR="003A0F25" w:rsidRPr="00D33638">
              <w:rPr>
                <w:b/>
                <w:bCs/>
                <w:sz w:val="20"/>
                <w:szCs w:val="20"/>
              </w:rPr>
              <w:fldChar w:fldCharType="separate"/>
            </w:r>
            <w:r w:rsidR="003131F1">
              <w:rPr>
                <w:b/>
                <w:bCs/>
                <w:noProof/>
                <w:sz w:val="20"/>
                <w:szCs w:val="20"/>
              </w:rPr>
              <w:t>6</w:t>
            </w:r>
            <w:r w:rsidR="003A0F25" w:rsidRPr="00D3363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8339903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08618178"/>
          <w:docPartObj>
            <w:docPartGallery w:val="Page Numbers (Top of Page)"/>
            <w:docPartUnique/>
          </w:docPartObj>
        </w:sdtPr>
        <w:sdtEndPr/>
        <w:sdtContent>
          <w:p w:rsidR="00D33638" w:rsidRPr="00D33638" w:rsidRDefault="00D33638" w:rsidP="00D33638">
            <w:pPr>
              <w:pStyle w:val="Rodap"/>
              <w:pBdr>
                <w:top w:val="single" w:sz="2" w:space="1" w:color="auto"/>
              </w:pBdr>
              <w:jc w:val="right"/>
              <w:rPr>
                <w:sz w:val="20"/>
                <w:szCs w:val="20"/>
              </w:rPr>
            </w:pPr>
            <w:r w:rsidRPr="00D33638">
              <w:rPr>
                <w:sz w:val="20"/>
                <w:szCs w:val="20"/>
              </w:rPr>
              <w:t xml:space="preserve">Página </w:t>
            </w:r>
            <w:r w:rsidR="003A0F25" w:rsidRPr="00D33638">
              <w:rPr>
                <w:b/>
                <w:bCs/>
                <w:sz w:val="20"/>
                <w:szCs w:val="20"/>
              </w:rPr>
              <w:fldChar w:fldCharType="begin"/>
            </w:r>
            <w:r w:rsidRPr="00D33638">
              <w:rPr>
                <w:b/>
                <w:bCs/>
                <w:sz w:val="20"/>
                <w:szCs w:val="20"/>
              </w:rPr>
              <w:instrText>PAGE</w:instrText>
            </w:r>
            <w:r w:rsidR="003A0F25" w:rsidRPr="00D33638">
              <w:rPr>
                <w:b/>
                <w:bCs/>
                <w:sz w:val="20"/>
                <w:szCs w:val="20"/>
              </w:rPr>
              <w:fldChar w:fldCharType="separate"/>
            </w:r>
            <w:r w:rsidR="003131F1">
              <w:rPr>
                <w:b/>
                <w:bCs/>
                <w:noProof/>
                <w:sz w:val="20"/>
                <w:szCs w:val="20"/>
              </w:rPr>
              <w:t>1</w:t>
            </w:r>
            <w:r w:rsidR="003A0F25" w:rsidRPr="00D33638">
              <w:rPr>
                <w:b/>
                <w:bCs/>
                <w:sz w:val="20"/>
                <w:szCs w:val="20"/>
              </w:rPr>
              <w:fldChar w:fldCharType="end"/>
            </w:r>
            <w:r w:rsidRPr="00D33638">
              <w:rPr>
                <w:sz w:val="20"/>
                <w:szCs w:val="20"/>
              </w:rPr>
              <w:t xml:space="preserve"> de </w:t>
            </w:r>
            <w:r w:rsidR="003A0F25" w:rsidRPr="00D33638">
              <w:rPr>
                <w:b/>
                <w:bCs/>
                <w:sz w:val="20"/>
                <w:szCs w:val="20"/>
              </w:rPr>
              <w:fldChar w:fldCharType="begin"/>
            </w:r>
            <w:r w:rsidRPr="00D33638">
              <w:rPr>
                <w:b/>
                <w:bCs/>
                <w:sz w:val="20"/>
                <w:szCs w:val="20"/>
              </w:rPr>
              <w:instrText>NUMPAGES</w:instrText>
            </w:r>
            <w:r w:rsidR="003A0F25" w:rsidRPr="00D33638">
              <w:rPr>
                <w:b/>
                <w:bCs/>
                <w:sz w:val="20"/>
                <w:szCs w:val="20"/>
              </w:rPr>
              <w:fldChar w:fldCharType="separate"/>
            </w:r>
            <w:r w:rsidR="003131F1">
              <w:rPr>
                <w:b/>
                <w:bCs/>
                <w:noProof/>
                <w:sz w:val="20"/>
                <w:szCs w:val="20"/>
              </w:rPr>
              <w:t>6</w:t>
            </w:r>
            <w:r w:rsidR="003A0F25" w:rsidRPr="00D3363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CE6" w:rsidRDefault="00EB7CE6" w:rsidP="00D33638">
      <w:pPr>
        <w:spacing w:after="0" w:line="240" w:lineRule="auto"/>
      </w:pPr>
      <w:r>
        <w:separator/>
      </w:r>
    </w:p>
  </w:footnote>
  <w:footnote w:type="continuationSeparator" w:id="0">
    <w:p w:rsidR="00EB7CE6" w:rsidRDefault="00EB7CE6" w:rsidP="00D3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638" w:rsidRDefault="003131F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00A06FA0" wp14:editId="25E707CC">
          <wp:simplePos x="0" y="0"/>
          <wp:positionH relativeFrom="column">
            <wp:posOffset>-280035</wp:posOffset>
          </wp:positionH>
          <wp:positionV relativeFrom="paragraph">
            <wp:posOffset>-382905</wp:posOffset>
          </wp:positionV>
          <wp:extent cx="6355344" cy="883227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tacionário 1b STP 19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344" cy="88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638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3CE47EB" wp14:editId="6BA9B565">
          <wp:simplePos x="0" y="0"/>
          <wp:positionH relativeFrom="margin">
            <wp:align>center</wp:align>
          </wp:positionH>
          <wp:positionV relativeFrom="paragraph">
            <wp:posOffset>-387350</wp:posOffset>
          </wp:positionV>
          <wp:extent cx="5953125" cy="82732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acionário 1b ST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827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0B57"/>
    <w:multiLevelType w:val="hybridMultilevel"/>
    <w:tmpl w:val="74986976"/>
    <w:lvl w:ilvl="0" w:tplc="45DC5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21C7D"/>
    <w:multiLevelType w:val="hybridMultilevel"/>
    <w:tmpl w:val="D236E0F0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0E07FAA"/>
    <w:multiLevelType w:val="hybridMultilevel"/>
    <w:tmpl w:val="D4E29EF6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4246A2"/>
    <w:multiLevelType w:val="hybridMultilevel"/>
    <w:tmpl w:val="396C51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B2"/>
    <w:rsid w:val="000449FF"/>
    <w:rsid w:val="00112DE0"/>
    <w:rsid w:val="001C4CE6"/>
    <w:rsid w:val="003131F1"/>
    <w:rsid w:val="003337E8"/>
    <w:rsid w:val="003A0F25"/>
    <w:rsid w:val="004007D3"/>
    <w:rsid w:val="00453B3D"/>
    <w:rsid w:val="005054E9"/>
    <w:rsid w:val="0051570D"/>
    <w:rsid w:val="00533A86"/>
    <w:rsid w:val="0054572F"/>
    <w:rsid w:val="00553397"/>
    <w:rsid w:val="00566AE7"/>
    <w:rsid w:val="00625350"/>
    <w:rsid w:val="00651554"/>
    <w:rsid w:val="00702BB2"/>
    <w:rsid w:val="0089753E"/>
    <w:rsid w:val="00A236A1"/>
    <w:rsid w:val="00AC7DE8"/>
    <w:rsid w:val="00AF275E"/>
    <w:rsid w:val="00B4490E"/>
    <w:rsid w:val="00D33638"/>
    <w:rsid w:val="00D952F1"/>
    <w:rsid w:val="00DE5EB8"/>
    <w:rsid w:val="00DE65F1"/>
    <w:rsid w:val="00DF1B83"/>
    <w:rsid w:val="00EB7CE6"/>
    <w:rsid w:val="00EF0FEB"/>
    <w:rsid w:val="00F0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5DC2B"/>
  <w15:docId w15:val="{5A25FFED-852C-4435-8C07-04F11AE3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60"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A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33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3638"/>
  </w:style>
  <w:style w:type="paragraph" w:styleId="Rodap">
    <w:name w:val="footer"/>
    <w:basedOn w:val="Normal"/>
    <w:link w:val="RodapCarter"/>
    <w:uiPriority w:val="99"/>
    <w:unhideWhenUsed/>
    <w:rsid w:val="00D33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3638"/>
  </w:style>
  <w:style w:type="paragraph" w:styleId="PargrafodaLista">
    <w:name w:val="List Paragraph"/>
    <w:basedOn w:val="Normal"/>
    <w:uiPriority w:val="34"/>
    <w:qFormat/>
    <w:rsid w:val="005054E9"/>
    <w:pPr>
      <w:spacing w:before="0"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1398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Freitas</dc:creator>
  <cp:lastModifiedBy>Microsoft Office User</cp:lastModifiedBy>
  <cp:revision>5</cp:revision>
  <cp:lastPrinted>2019-05-15T10:45:00Z</cp:lastPrinted>
  <dcterms:created xsi:type="dcterms:W3CDTF">2020-04-25T23:29:00Z</dcterms:created>
  <dcterms:modified xsi:type="dcterms:W3CDTF">2020-06-09T08:39:00Z</dcterms:modified>
</cp:coreProperties>
</file>